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3764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B66E5D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0114A">
              <w:rPr>
                <w:noProof/>
                <w:webHidden/>
              </w:rPr>
              <w:t>2</w:t>
            </w:r>
            <w:r>
              <w:rPr>
                <w:noProof/>
                <w:webHidden/>
              </w:rPr>
              <w:fldChar w:fldCharType="end"/>
            </w:r>
          </w:hyperlink>
        </w:p>
        <w:p w14:paraId="47CC41D1" w14:textId="72F3DB7A" w:rsidR="00F46719" w:rsidRDefault="00A3764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0114A">
              <w:rPr>
                <w:noProof/>
                <w:webHidden/>
              </w:rPr>
              <w:t>2</w:t>
            </w:r>
            <w:r w:rsidR="00F46719">
              <w:rPr>
                <w:noProof/>
                <w:webHidden/>
              </w:rPr>
              <w:fldChar w:fldCharType="end"/>
            </w:r>
          </w:hyperlink>
        </w:p>
        <w:p w14:paraId="0205BF1A" w14:textId="45B38B20" w:rsidR="00F46719" w:rsidRDefault="00A3764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0114A">
              <w:rPr>
                <w:noProof/>
                <w:webHidden/>
              </w:rPr>
              <w:t>2</w:t>
            </w:r>
            <w:r w:rsidR="00F46719">
              <w:rPr>
                <w:noProof/>
                <w:webHidden/>
              </w:rPr>
              <w:fldChar w:fldCharType="end"/>
            </w:r>
          </w:hyperlink>
        </w:p>
        <w:p w14:paraId="3181098F" w14:textId="09CDEFBA" w:rsidR="00F46719" w:rsidRDefault="00A3764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0114A">
              <w:rPr>
                <w:noProof/>
                <w:webHidden/>
              </w:rPr>
              <w:t>2</w:t>
            </w:r>
            <w:r w:rsidR="00F46719">
              <w:rPr>
                <w:noProof/>
                <w:webHidden/>
              </w:rPr>
              <w:fldChar w:fldCharType="end"/>
            </w:r>
          </w:hyperlink>
        </w:p>
        <w:p w14:paraId="3E5886DF" w14:textId="0D627948" w:rsidR="00F46719" w:rsidRDefault="00A3764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0114A">
              <w:rPr>
                <w:noProof/>
                <w:webHidden/>
              </w:rPr>
              <w:t>4</w:t>
            </w:r>
            <w:r w:rsidR="00F46719">
              <w:rPr>
                <w:noProof/>
                <w:webHidden/>
              </w:rPr>
              <w:fldChar w:fldCharType="end"/>
            </w:r>
          </w:hyperlink>
        </w:p>
        <w:p w14:paraId="653AF446" w14:textId="6E40073C" w:rsidR="00F46719" w:rsidRDefault="00A3764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0114A">
              <w:rPr>
                <w:noProof/>
                <w:webHidden/>
              </w:rPr>
              <w:t>5</w:t>
            </w:r>
            <w:r w:rsidR="00F46719">
              <w:rPr>
                <w:noProof/>
                <w:webHidden/>
              </w:rPr>
              <w:fldChar w:fldCharType="end"/>
            </w:r>
          </w:hyperlink>
        </w:p>
        <w:p w14:paraId="21BA046A" w14:textId="4049238C" w:rsidR="00F46719" w:rsidRDefault="00A3764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0114A">
              <w:rPr>
                <w:noProof/>
                <w:webHidden/>
              </w:rPr>
              <w:t>6</w:t>
            </w:r>
            <w:r w:rsidR="00F46719">
              <w:rPr>
                <w:noProof/>
                <w:webHidden/>
              </w:rPr>
              <w:fldChar w:fldCharType="end"/>
            </w:r>
          </w:hyperlink>
        </w:p>
        <w:p w14:paraId="784807F5" w14:textId="12B1323E" w:rsidR="00F46719" w:rsidRDefault="00A3764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0114A">
              <w:rPr>
                <w:noProof/>
                <w:webHidden/>
              </w:rPr>
              <w:t>7</w:t>
            </w:r>
            <w:r w:rsidR="00F46719">
              <w:rPr>
                <w:noProof/>
                <w:webHidden/>
              </w:rPr>
              <w:fldChar w:fldCharType="end"/>
            </w:r>
          </w:hyperlink>
        </w:p>
        <w:p w14:paraId="7E663DB5" w14:textId="05941979" w:rsidR="00F46719" w:rsidRDefault="00A3764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0114A">
              <w:rPr>
                <w:noProof/>
                <w:webHidden/>
              </w:rPr>
              <w:t>8</w:t>
            </w:r>
            <w:r w:rsidR="00F46719">
              <w:rPr>
                <w:noProof/>
                <w:webHidden/>
              </w:rPr>
              <w:fldChar w:fldCharType="end"/>
            </w:r>
          </w:hyperlink>
        </w:p>
        <w:p w14:paraId="335A44C3" w14:textId="690D0616" w:rsidR="00F46719" w:rsidRDefault="00A3764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0114A">
              <w:rPr>
                <w:noProof/>
                <w:webHidden/>
              </w:rPr>
              <w:t>8</w:t>
            </w:r>
            <w:r w:rsidR="00F46719">
              <w:rPr>
                <w:noProof/>
                <w:webHidden/>
              </w:rPr>
              <w:fldChar w:fldCharType="end"/>
            </w:r>
          </w:hyperlink>
        </w:p>
        <w:p w14:paraId="290CB7FF" w14:textId="03FFA76A" w:rsidR="00F46719" w:rsidRDefault="00A3764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0114A">
              <w:rPr>
                <w:b/>
                <w:bCs/>
                <w:noProof/>
                <w:webHidden/>
                <w:lang w:val="es-ES"/>
              </w:rPr>
              <w:t>¡Error! Marcador no definido.</w:t>
            </w:r>
            <w:r w:rsidR="00F46719">
              <w:rPr>
                <w:noProof/>
                <w:webHidden/>
              </w:rPr>
              <w:fldChar w:fldCharType="end"/>
            </w:r>
          </w:hyperlink>
        </w:p>
        <w:p w14:paraId="67FB6C3B" w14:textId="2B2592D6" w:rsidR="00F46719" w:rsidRDefault="00A3764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0114A">
              <w:rPr>
                <w:noProof/>
                <w:webHidden/>
              </w:rPr>
              <w:t>9</w:t>
            </w:r>
            <w:r w:rsidR="00F46719">
              <w:rPr>
                <w:noProof/>
                <w:webHidden/>
              </w:rPr>
              <w:fldChar w:fldCharType="end"/>
            </w:r>
          </w:hyperlink>
        </w:p>
        <w:p w14:paraId="3373EEEC" w14:textId="2E41B918" w:rsidR="00F46719" w:rsidRDefault="00A3764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0114A">
              <w:rPr>
                <w:noProof/>
                <w:webHidden/>
              </w:rPr>
              <w:t>9</w:t>
            </w:r>
            <w:r w:rsidR="00F46719">
              <w:rPr>
                <w:noProof/>
                <w:webHidden/>
              </w:rPr>
              <w:fldChar w:fldCharType="end"/>
            </w:r>
          </w:hyperlink>
        </w:p>
        <w:p w14:paraId="01A1A543" w14:textId="3BDE5129" w:rsidR="00F46719" w:rsidRDefault="00A3764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0114A">
              <w:rPr>
                <w:noProof/>
                <w:webHidden/>
              </w:rPr>
              <w:t>9</w:t>
            </w:r>
            <w:r w:rsidR="00F46719">
              <w:rPr>
                <w:noProof/>
                <w:webHidden/>
              </w:rPr>
              <w:fldChar w:fldCharType="end"/>
            </w:r>
          </w:hyperlink>
        </w:p>
        <w:p w14:paraId="314DA06E" w14:textId="551DDCF8" w:rsidR="00F46719" w:rsidRDefault="00A3764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0114A">
              <w:rPr>
                <w:noProof/>
                <w:webHidden/>
              </w:rPr>
              <w:t>10</w:t>
            </w:r>
            <w:r w:rsidR="00F46719">
              <w:rPr>
                <w:noProof/>
                <w:webHidden/>
              </w:rPr>
              <w:fldChar w:fldCharType="end"/>
            </w:r>
          </w:hyperlink>
        </w:p>
        <w:p w14:paraId="0A10726F" w14:textId="6C9A3645" w:rsidR="00F46719" w:rsidRDefault="00A3764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0114A">
              <w:rPr>
                <w:noProof/>
                <w:webHidden/>
              </w:rPr>
              <w:t>10</w:t>
            </w:r>
            <w:r w:rsidR="00F46719">
              <w:rPr>
                <w:noProof/>
                <w:webHidden/>
              </w:rPr>
              <w:fldChar w:fldCharType="end"/>
            </w:r>
          </w:hyperlink>
        </w:p>
        <w:p w14:paraId="3402BC77" w14:textId="5051C220" w:rsidR="00F46719" w:rsidRDefault="00A3764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0114A">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35FB4C9"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r w:rsidR="009E280F" w:rsidRPr="005B1BC0">
        <w:rPr>
          <w:rFonts w:cs="Calibri"/>
          <w:color w:val="0070C0"/>
          <w:u w:val="single"/>
        </w:rPr>
        <w:t>febrero</w:t>
      </w:r>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3"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21BB3711" w:rsidR="00FF4D5E" w:rsidRDefault="009E280F"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202</w:t>
      </w:r>
      <w:r w:rsidR="00736AA5">
        <w:rPr>
          <w:rFonts w:ascii="Arial" w:hAnsi="Arial" w:cs="Arial"/>
          <w:color w:val="0070C0"/>
          <w:sz w:val="20"/>
          <w:szCs w:val="20"/>
          <w:u w:val="single"/>
        </w:rPr>
        <w:t>2</w:t>
      </w:r>
      <w:r w:rsidR="00FF4D5E"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268FA195" w14:textId="77777777" w:rsidR="009E280F" w:rsidRDefault="009E280F" w:rsidP="00CB41C4">
      <w:pPr>
        <w:tabs>
          <w:tab w:val="left" w:leader="underscore" w:pos="9639"/>
        </w:tabs>
        <w:spacing w:after="0" w:line="240" w:lineRule="auto"/>
        <w:jc w:val="both"/>
        <w:rPr>
          <w:rFonts w:cs="Calibri"/>
          <w:b/>
        </w:rPr>
      </w:pPr>
    </w:p>
    <w:p w14:paraId="05B37DD2" w14:textId="77777777" w:rsidR="009E280F" w:rsidRDefault="009E280F" w:rsidP="00CB41C4">
      <w:pPr>
        <w:tabs>
          <w:tab w:val="left" w:leader="underscore" w:pos="9639"/>
        </w:tabs>
        <w:spacing w:after="0" w:line="240" w:lineRule="auto"/>
        <w:jc w:val="both"/>
        <w:rPr>
          <w:rFonts w:cs="Calibri"/>
          <w:b/>
        </w:rPr>
      </w:pPr>
    </w:p>
    <w:p w14:paraId="164C4667" w14:textId="77777777" w:rsidR="009E280F" w:rsidRDefault="009E280F" w:rsidP="00CB41C4">
      <w:pPr>
        <w:tabs>
          <w:tab w:val="left" w:leader="underscore" w:pos="9639"/>
        </w:tabs>
        <w:spacing w:after="0" w:line="240" w:lineRule="auto"/>
        <w:jc w:val="both"/>
        <w:rPr>
          <w:rFonts w:cs="Calibri"/>
          <w:b/>
        </w:rPr>
      </w:pPr>
    </w:p>
    <w:p w14:paraId="505E99CE" w14:textId="77777777" w:rsidR="009E280F" w:rsidRDefault="009E280F" w:rsidP="00CB41C4">
      <w:pPr>
        <w:tabs>
          <w:tab w:val="left" w:leader="underscore" w:pos="9639"/>
        </w:tabs>
        <w:spacing w:after="0" w:line="240" w:lineRule="auto"/>
        <w:jc w:val="both"/>
        <w:rPr>
          <w:rFonts w:cs="Calibri"/>
          <w:b/>
        </w:rPr>
      </w:pPr>
    </w:p>
    <w:p w14:paraId="0454DF9D" w14:textId="77777777" w:rsidR="009E280F" w:rsidRDefault="009E280F" w:rsidP="00CB41C4">
      <w:pPr>
        <w:tabs>
          <w:tab w:val="left" w:leader="underscore" w:pos="9639"/>
        </w:tabs>
        <w:spacing w:after="0" w:line="240" w:lineRule="auto"/>
        <w:jc w:val="both"/>
        <w:rPr>
          <w:rFonts w:cs="Calibri"/>
          <w:b/>
        </w:rPr>
      </w:pPr>
    </w:p>
    <w:p w14:paraId="4C0D1B05" w14:textId="77777777" w:rsidR="009E280F" w:rsidRDefault="009E280F" w:rsidP="00CB41C4">
      <w:pPr>
        <w:tabs>
          <w:tab w:val="left" w:leader="underscore" w:pos="9639"/>
        </w:tabs>
        <w:spacing w:after="0" w:line="240" w:lineRule="auto"/>
        <w:jc w:val="both"/>
        <w:rPr>
          <w:rFonts w:cs="Calibri"/>
          <w:b/>
        </w:rPr>
      </w:pPr>
    </w:p>
    <w:p w14:paraId="6EB77A6D" w14:textId="2235A04B"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13E82C3D" w14:textId="2A3F4500" w:rsidR="00CB41C4" w:rsidRDefault="00CB41C4" w:rsidP="00CB41C4">
      <w:pPr>
        <w:tabs>
          <w:tab w:val="left" w:leader="underscore" w:pos="9639"/>
        </w:tabs>
        <w:spacing w:after="0" w:line="240" w:lineRule="auto"/>
        <w:jc w:val="both"/>
        <w:rPr>
          <w:rFonts w:cs="Calibri"/>
        </w:rPr>
      </w:pPr>
    </w:p>
    <w:p w14:paraId="09AAD7ED" w14:textId="71A67C72" w:rsidR="00FF4D5E" w:rsidRDefault="00736AA5"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1B011422" wp14:editId="3C78E86A">
            <wp:extent cx="6151880" cy="27622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2022.png"/>
                    <pic:cNvPicPr/>
                  </pic:nvPicPr>
                  <pic:blipFill rotWithShape="1">
                    <a:blip r:embed="rId12" cstate="print">
                      <a:extLst>
                        <a:ext uri="{28A0092B-C50C-407E-A947-70E740481C1C}">
                          <a14:useLocalDpi xmlns:a14="http://schemas.microsoft.com/office/drawing/2010/main" val="0"/>
                        </a:ext>
                      </a:extLst>
                    </a:blip>
                    <a:srcRect b="41876"/>
                    <a:stretch/>
                  </pic:blipFill>
                  <pic:spPr bwMode="auto">
                    <a:xfrm>
                      <a:off x="0" y="0"/>
                      <a:ext cx="6151880" cy="2762250"/>
                    </a:xfrm>
                    <a:prstGeom prst="rect">
                      <a:avLst/>
                    </a:prstGeom>
                    <a:ln>
                      <a:noFill/>
                    </a:ln>
                    <a:extLst>
                      <a:ext uri="{53640926-AAD7-44D8-BBD7-CCE9431645EC}">
                        <a14:shadowObscured xmlns:a14="http://schemas.microsoft.com/office/drawing/2010/main"/>
                      </a:ext>
                    </a:extLst>
                  </pic:spPr>
                </pic:pic>
              </a:graphicData>
            </a:graphic>
          </wp:inline>
        </w:drawing>
      </w:r>
    </w:p>
    <w:p w14:paraId="3B3782F8" w14:textId="3C1B08C3" w:rsidR="00FF4D5E" w:rsidRDefault="00FF4D5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EA1BC4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1346878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F78D9" w:rsidRPr="00E74967">
        <w:rPr>
          <w:rFonts w:cs="Calibri"/>
        </w:rPr>
        <w:t>la base devengada</w:t>
      </w:r>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18D4A426"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r w:rsidR="00EF78D9" w:rsidRPr="00165F98">
        <w:rPr>
          <w:rFonts w:cs="Calibri"/>
          <w:color w:val="0070C0"/>
          <w:u w:val="single"/>
        </w:rPr>
        <w:t>capacitaciones para</w:t>
      </w:r>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691CEC3D"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r w:rsidR="009E280F">
        <w:rPr>
          <w:rFonts w:cs="Calibri"/>
          <w:color w:val="0070C0"/>
          <w:u w:val="single"/>
        </w:rPr>
        <w:t>.</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03D4544A"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r w:rsidR="009E280F">
        <w:rPr>
          <w:rFonts w:cs="Calibri"/>
          <w:color w:val="0070C0"/>
          <w:u w:val="single"/>
        </w:rPr>
        <w:t>.</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4F49591C"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un mejor control de los recursos.  Comprende desde el 01 de </w:t>
      </w:r>
      <w:r w:rsidR="009E280F">
        <w:rPr>
          <w:rFonts w:cs="Calibri"/>
          <w:color w:val="0070C0"/>
          <w:u w:val="single"/>
        </w:rPr>
        <w:t>Enero al 31 de Diciembre del 202</w:t>
      </w:r>
      <w:r w:rsidR="00736AA5">
        <w:rPr>
          <w:rFonts w:cs="Calibri"/>
          <w:color w:val="0070C0"/>
          <w:u w:val="single"/>
        </w:rPr>
        <w:t>2</w:t>
      </w:r>
      <w:r w:rsidRPr="00165F98">
        <w:rPr>
          <w:rFonts w:cs="Calibri"/>
          <w:color w:val="0070C0"/>
          <w:u w:val="single"/>
        </w:rPr>
        <w:t xml:space="preserve">  que incluye las partidas  1131 Sueldos por  el monto de $ 1'</w:t>
      </w:r>
      <w:r w:rsidR="00736AA5">
        <w:rPr>
          <w:rFonts w:cs="Calibri"/>
          <w:color w:val="0070C0"/>
          <w:u w:val="single"/>
        </w:rPr>
        <w:t>921</w:t>
      </w:r>
      <w:r>
        <w:rPr>
          <w:rFonts w:cs="Calibri"/>
          <w:color w:val="0070C0"/>
          <w:u w:val="single"/>
        </w:rPr>
        <w:t>,</w:t>
      </w:r>
      <w:r w:rsidR="00736AA5">
        <w:rPr>
          <w:rFonts w:cs="Calibri"/>
          <w:color w:val="0070C0"/>
          <w:u w:val="single"/>
        </w:rPr>
        <w:t>562</w:t>
      </w:r>
      <w:r w:rsidR="00162066">
        <w:rPr>
          <w:rFonts w:cs="Calibri"/>
          <w:color w:val="0070C0"/>
          <w:u w:val="single"/>
        </w:rPr>
        <w:t>.</w:t>
      </w:r>
      <w:r w:rsidR="00736AA5">
        <w:rPr>
          <w:rFonts w:cs="Calibri"/>
          <w:color w:val="0070C0"/>
          <w:u w:val="single"/>
        </w:rPr>
        <w:t>0</w:t>
      </w:r>
      <w:r w:rsidR="00162066">
        <w:rPr>
          <w:rFonts w:cs="Calibri"/>
          <w:color w:val="0070C0"/>
          <w:u w:val="single"/>
        </w:rPr>
        <w:t>4</w:t>
      </w:r>
      <w:r w:rsidRPr="00165F98">
        <w:rPr>
          <w:rFonts w:cs="Calibri"/>
          <w:color w:val="0070C0"/>
          <w:u w:val="single"/>
        </w:rPr>
        <w:t xml:space="preserve"> (Un millón </w:t>
      </w:r>
      <w:r w:rsidR="00736AA5">
        <w:rPr>
          <w:rFonts w:cs="Calibri"/>
          <w:color w:val="0070C0"/>
          <w:u w:val="single"/>
        </w:rPr>
        <w:t>novecientos veintiún mil quinientos sesenta y dos</w:t>
      </w:r>
      <w:r>
        <w:rPr>
          <w:rFonts w:cs="Calibri"/>
          <w:color w:val="0070C0"/>
          <w:u w:val="single"/>
        </w:rPr>
        <w:t xml:space="preserve"> </w:t>
      </w:r>
      <w:r w:rsidRPr="00165F98">
        <w:rPr>
          <w:rFonts w:cs="Calibri"/>
          <w:color w:val="0070C0"/>
          <w:u w:val="single"/>
        </w:rPr>
        <w:t xml:space="preserve">pesos </w:t>
      </w:r>
      <w:r w:rsidR="00736AA5">
        <w:rPr>
          <w:rFonts w:cs="Calibri"/>
          <w:color w:val="0070C0"/>
          <w:u w:val="single"/>
        </w:rPr>
        <w:t>0</w:t>
      </w:r>
      <w:r w:rsidR="00162066">
        <w:rPr>
          <w:rFonts w:cs="Calibri"/>
          <w:color w:val="0070C0"/>
          <w:u w:val="single"/>
        </w:rPr>
        <w:t>4</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sidR="00736AA5">
        <w:rPr>
          <w:rFonts w:cs="Calibri"/>
          <w:color w:val="0070C0"/>
          <w:u w:val="single"/>
        </w:rPr>
        <w:t>236,904.91</w:t>
      </w:r>
      <w:r w:rsidRPr="00165F98">
        <w:rPr>
          <w:rFonts w:cs="Calibri"/>
          <w:color w:val="0070C0"/>
          <w:u w:val="single"/>
        </w:rPr>
        <w:t xml:space="preserve"> (</w:t>
      </w:r>
      <w:r w:rsidR="00162066">
        <w:rPr>
          <w:rFonts w:cs="Calibri"/>
          <w:color w:val="0070C0"/>
          <w:u w:val="single"/>
        </w:rPr>
        <w:t xml:space="preserve">Doscientos </w:t>
      </w:r>
      <w:r w:rsidR="00736AA5">
        <w:rPr>
          <w:rFonts w:cs="Calibri"/>
          <w:color w:val="0070C0"/>
          <w:u w:val="single"/>
        </w:rPr>
        <w:t>treinta y seis mil novecientos cuatro</w:t>
      </w:r>
      <w:r w:rsidR="00162066">
        <w:rPr>
          <w:rFonts w:cs="Calibri"/>
          <w:color w:val="0070C0"/>
          <w:u w:val="single"/>
        </w:rPr>
        <w:t xml:space="preserve"> </w:t>
      </w:r>
      <w:r w:rsidRPr="00165F98">
        <w:rPr>
          <w:rFonts w:cs="Calibri"/>
          <w:color w:val="0070C0"/>
          <w:u w:val="single"/>
        </w:rPr>
        <w:t xml:space="preserve">pesos </w:t>
      </w:r>
      <w:r w:rsidR="00736AA5">
        <w:rPr>
          <w:rFonts w:cs="Calibri"/>
          <w:color w:val="0070C0"/>
          <w:u w:val="single"/>
        </w:rPr>
        <w:t>9</w:t>
      </w:r>
      <w:r w:rsidR="00162066">
        <w:rPr>
          <w:rFonts w:cs="Calibri"/>
          <w:color w:val="0070C0"/>
          <w:u w:val="single"/>
        </w:rPr>
        <w:t>1</w:t>
      </w:r>
      <w:r w:rsidRPr="00165F98">
        <w:rPr>
          <w:rFonts w:cs="Calibri"/>
          <w:color w:val="0070C0"/>
          <w:u w:val="single"/>
        </w:rPr>
        <w:t xml:space="preserve">/100 MN) y la partida 1541 Prestaciones establecidas por condiciones generales por la cantidad de $ </w:t>
      </w:r>
      <w:r w:rsidR="00736AA5">
        <w:rPr>
          <w:rFonts w:cs="Calibri"/>
          <w:color w:val="0070C0"/>
          <w:u w:val="single"/>
        </w:rPr>
        <w:t>155,931.84</w:t>
      </w:r>
      <w:r w:rsidRPr="00165F98">
        <w:rPr>
          <w:rFonts w:cs="Calibri"/>
          <w:color w:val="0070C0"/>
          <w:u w:val="single"/>
        </w:rPr>
        <w:t xml:space="preserve"> (</w:t>
      </w:r>
      <w:r w:rsidR="00162066">
        <w:rPr>
          <w:rFonts w:cs="Calibri"/>
          <w:color w:val="0070C0"/>
          <w:u w:val="single"/>
        </w:rPr>
        <w:t xml:space="preserve">Ciento </w:t>
      </w:r>
      <w:r w:rsidR="00736AA5">
        <w:rPr>
          <w:rFonts w:cs="Calibri"/>
          <w:color w:val="0070C0"/>
          <w:u w:val="single"/>
        </w:rPr>
        <w:t>cincuenta y cinco mil novecientos treinta y un</w:t>
      </w:r>
      <w:r w:rsidRPr="00165F98">
        <w:rPr>
          <w:rFonts w:cs="Calibri"/>
          <w:color w:val="0070C0"/>
          <w:u w:val="single"/>
        </w:rPr>
        <w:t xml:space="preserve"> pesos </w:t>
      </w:r>
      <w:r w:rsidR="00736AA5">
        <w:rPr>
          <w:rFonts w:cs="Calibri"/>
          <w:color w:val="0070C0"/>
          <w:u w:val="single"/>
        </w:rPr>
        <w:t>84</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48864611" w:rsidR="00633C49" w:rsidRPr="00E74967" w:rsidRDefault="00633C49" w:rsidP="00633C49">
      <w:pPr>
        <w:spacing w:after="0" w:line="240" w:lineRule="auto"/>
        <w:jc w:val="both"/>
        <w:rPr>
          <w:rFonts w:cs="Calibri"/>
        </w:rPr>
      </w:pPr>
      <w:r w:rsidRPr="00F179FE">
        <w:rPr>
          <w:rFonts w:cs="Calibri"/>
          <w:color w:val="0070C0"/>
          <w:u w:val="single"/>
        </w:rPr>
        <w:t>Del Ejercicio 20</w:t>
      </w:r>
      <w:r w:rsidR="009E280F">
        <w:rPr>
          <w:rFonts w:cs="Calibri"/>
          <w:color w:val="0070C0"/>
          <w:u w:val="single"/>
        </w:rPr>
        <w:t>2</w:t>
      </w:r>
      <w:r w:rsidR="00736AA5">
        <w:rPr>
          <w:rFonts w:cs="Calibri"/>
          <w:color w:val="0070C0"/>
          <w:u w:val="single"/>
        </w:rPr>
        <w:t>2</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sidR="00896C3C">
        <w:rPr>
          <w:rFonts w:cs="Calibri"/>
          <w:color w:val="0070C0"/>
          <w:u w:val="single"/>
        </w:rPr>
        <w:t>4</w:t>
      </w:r>
      <w:r w:rsidRPr="00F179FE">
        <w:rPr>
          <w:rFonts w:cs="Calibri"/>
          <w:color w:val="0070C0"/>
          <w:u w:val="single"/>
        </w:rPr>
        <w:t xml:space="preserve">%, las transferencias Municipales el </w:t>
      </w:r>
      <w:r w:rsidR="00896C3C">
        <w:rPr>
          <w:rFonts w:cs="Calibri"/>
          <w:color w:val="0070C0"/>
          <w:u w:val="single"/>
        </w:rPr>
        <w:t>90</w:t>
      </w:r>
      <w:r w:rsidRPr="00F179FE">
        <w:rPr>
          <w:rFonts w:cs="Calibri"/>
          <w:color w:val="0070C0"/>
          <w:u w:val="single"/>
        </w:rPr>
        <w:t xml:space="preserve">% </w:t>
      </w:r>
      <w:r w:rsidR="00896C3C" w:rsidRPr="00F179FE">
        <w:rPr>
          <w:rFonts w:cs="Calibri"/>
          <w:color w:val="0070C0"/>
          <w:u w:val="single"/>
        </w:rPr>
        <w:t>y el</w:t>
      </w:r>
      <w:r w:rsidRPr="00F179FE">
        <w:rPr>
          <w:rFonts w:cs="Calibri"/>
          <w:color w:val="0070C0"/>
          <w:u w:val="single"/>
        </w:rPr>
        <w:t xml:space="preserve"> </w:t>
      </w:r>
      <w:r w:rsidR="00896C3C">
        <w:rPr>
          <w:rFonts w:cs="Calibri"/>
          <w:color w:val="0070C0"/>
          <w:u w:val="single"/>
        </w:rPr>
        <w:t>1</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6A24868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Los recursos propios son insuficientes ya que solamente cubren un mínimo de gastos como s</w:t>
      </w:r>
      <w:r w:rsidR="00896C3C">
        <w:rPr>
          <w:rFonts w:asciiTheme="minorHAnsi" w:hAnsiTheme="minorHAnsi"/>
          <w:color w:val="0070C0"/>
          <w:szCs w:val="24"/>
          <w:u w:val="single"/>
        </w:rPr>
        <w:t>on el material para talleres y l</w:t>
      </w:r>
      <w:r w:rsidRPr="00F179FE">
        <w:rPr>
          <w:rFonts w:asciiTheme="minorHAnsi" w:hAnsiTheme="minorHAnsi"/>
          <w:color w:val="0070C0"/>
          <w:szCs w:val="24"/>
          <w:u w:val="single"/>
        </w:rPr>
        <w:t xml:space="preserve">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productiva.  </w:t>
      </w:r>
      <w:r w:rsidR="00896C3C" w:rsidRPr="00F179FE">
        <w:rPr>
          <w:rFonts w:asciiTheme="minorHAnsi" w:hAnsiTheme="minorHAnsi"/>
          <w:color w:val="0070C0"/>
          <w:szCs w:val="24"/>
          <w:u w:val="single"/>
        </w:rPr>
        <w:t>Además,</w:t>
      </w:r>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7F47131" w14:textId="5ACEF5D8" w:rsidR="00633C49" w:rsidRDefault="00633C49" w:rsidP="00633C49">
      <w:pPr>
        <w:spacing w:after="0" w:line="240" w:lineRule="auto"/>
        <w:jc w:val="both"/>
        <w:rPr>
          <w:rFonts w:cs="Calibri"/>
        </w:rPr>
      </w:pPr>
      <w:r w:rsidRPr="00F179FE">
        <w:rPr>
          <w:rFonts w:cs="Calibri"/>
          <w:color w:val="0070C0"/>
          <w:u w:val="single"/>
        </w:rPr>
        <w:t>Casa de la Cultura no tiene deuda.</w:t>
      </w: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 Calificaciones otorgadas:</w:t>
      </w:r>
      <w:bookmarkEnd w:id="10"/>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1D533964"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r w:rsidR="00896C3C">
        <w:rPr>
          <w:rFonts w:cs="Calibri"/>
          <w:color w:val="0070C0"/>
          <w:u w:val="single"/>
        </w:rPr>
        <w:t>.</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495F9053" w14:textId="2B62C60E"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258BBAA5" w:rsidR="00633C49" w:rsidRPr="00F179FE" w:rsidRDefault="00896C3C" w:rsidP="00633C49">
      <w:pPr>
        <w:spacing w:after="0" w:line="240" w:lineRule="auto"/>
        <w:jc w:val="both"/>
        <w:rPr>
          <w:rFonts w:cs="Calibri"/>
          <w:color w:val="0070C0"/>
          <w:u w:val="single"/>
        </w:rPr>
      </w:pPr>
      <w:r w:rsidRPr="00F179FE">
        <w:rPr>
          <w:rFonts w:cs="Calibri"/>
          <w:color w:val="0070C0"/>
          <w:u w:val="single"/>
        </w:rPr>
        <w:t>Casa de</w:t>
      </w:r>
      <w:r w:rsidR="00633C49" w:rsidRPr="00F179FE">
        <w:rPr>
          <w:rFonts w:cs="Calibri"/>
          <w:color w:val="0070C0"/>
          <w:u w:val="single"/>
        </w:rPr>
        <w:t xml:space="preserve"> la Cultura no cuenta con políticas de control interno solamente el </w:t>
      </w:r>
      <w:r w:rsidRPr="00F179FE">
        <w:rPr>
          <w:rFonts w:cs="Calibri"/>
          <w:color w:val="0070C0"/>
          <w:u w:val="single"/>
        </w:rPr>
        <w:t>reglamento interno</w:t>
      </w:r>
      <w:r w:rsidR="00633C49" w:rsidRPr="00F179FE">
        <w:rPr>
          <w:rFonts w:cs="Calibri"/>
          <w:color w:val="0070C0"/>
          <w:u w:val="single"/>
        </w:rPr>
        <w:t xml:space="preserve"> </w:t>
      </w:r>
      <w:r w:rsidRPr="00F179FE">
        <w:rPr>
          <w:rFonts w:cs="Calibri"/>
          <w:color w:val="0070C0"/>
          <w:u w:val="single"/>
        </w:rPr>
        <w:t>y los</w:t>
      </w:r>
      <w:r w:rsidR="00633C49" w:rsidRPr="00F179FE">
        <w:rPr>
          <w:rFonts w:cs="Calibri"/>
          <w:color w:val="0070C0"/>
          <w:u w:val="single"/>
        </w:rPr>
        <w:t xml:space="preserve"> lineamientos del Municipio.</w:t>
      </w: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55D08D4D" w14:textId="5699141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1D340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529DC9B8"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r w:rsidR="00896C3C">
        <w:rPr>
          <w:rFonts w:cs="Calibri"/>
          <w:color w:val="0070C0"/>
          <w:u w:val="single"/>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8900316"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D33F60" w14:textId="46CCA544" w:rsidR="00A0114A" w:rsidRDefault="00A0114A" w:rsidP="00CB41C4">
      <w:pPr>
        <w:tabs>
          <w:tab w:val="left" w:leader="underscore" w:pos="9639"/>
        </w:tabs>
        <w:spacing w:after="0" w:line="240" w:lineRule="auto"/>
        <w:jc w:val="both"/>
        <w:rPr>
          <w:rFonts w:asciiTheme="minorHAnsi" w:hAnsiTheme="minorHAnsi" w:cstheme="minorHAnsi"/>
          <w:sz w:val="24"/>
          <w:szCs w:val="24"/>
        </w:rPr>
      </w:pPr>
    </w:p>
    <w:p w14:paraId="33ED02BC" w14:textId="6073D568" w:rsidR="00A0114A" w:rsidRDefault="00A0114A" w:rsidP="00CB41C4">
      <w:pPr>
        <w:tabs>
          <w:tab w:val="left" w:leader="underscore" w:pos="9639"/>
        </w:tabs>
        <w:spacing w:after="0" w:line="240" w:lineRule="auto"/>
        <w:jc w:val="both"/>
        <w:rPr>
          <w:rFonts w:asciiTheme="minorHAnsi" w:hAnsiTheme="minorHAnsi" w:cstheme="minorHAnsi"/>
          <w:sz w:val="24"/>
          <w:szCs w:val="24"/>
        </w:rPr>
      </w:pPr>
      <w:r w:rsidRPr="00A0114A">
        <w:rPr>
          <w:rFonts w:asciiTheme="minorHAnsi" w:hAnsiTheme="minorHAnsi" w:cstheme="minorHAnsi"/>
          <w:sz w:val="24"/>
          <w:szCs w:val="24"/>
        </w:rPr>
        <w:t>“Bajo protesta de decir verdad declaramos que los Estados Financieros y sus notas, son razonablemente correctos y son responsabilidad del emisor”</w:t>
      </w:r>
    </w:p>
    <w:p w14:paraId="56CEE779" w14:textId="241896FD" w:rsidR="00A0114A" w:rsidRPr="0012405A" w:rsidRDefault="00A0114A" w:rsidP="00CB41C4">
      <w:pPr>
        <w:tabs>
          <w:tab w:val="left" w:leader="underscore" w:pos="9639"/>
        </w:tabs>
        <w:spacing w:after="0" w:line="240" w:lineRule="auto"/>
        <w:jc w:val="both"/>
        <w:rPr>
          <w:rFonts w:asciiTheme="minorHAnsi" w:hAnsiTheme="minorHAnsi" w:cstheme="minorHAnsi"/>
          <w:sz w:val="24"/>
          <w:szCs w:val="24"/>
        </w:rPr>
      </w:pPr>
      <w:bookmarkStart w:id="16" w:name="_GoBack"/>
      <w:bookmarkEnd w:id="16"/>
    </w:p>
    <w:sectPr w:rsidR="00A0114A"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A1B7" w14:textId="77777777" w:rsidR="00A37641" w:rsidRDefault="00A37641" w:rsidP="00E00323">
      <w:pPr>
        <w:spacing w:after="0" w:line="240" w:lineRule="auto"/>
      </w:pPr>
      <w:r>
        <w:separator/>
      </w:r>
    </w:p>
  </w:endnote>
  <w:endnote w:type="continuationSeparator" w:id="0">
    <w:p w14:paraId="5DA19446" w14:textId="77777777" w:rsidR="00A37641" w:rsidRDefault="00A3764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B955288" w:rsidR="0012405A" w:rsidRDefault="0012405A">
        <w:pPr>
          <w:pStyle w:val="Piedepgina"/>
          <w:jc w:val="right"/>
        </w:pPr>
        <w:r>
          <w:fldChar w:fldCharType="begin"/>
        </w:r>
        <w:r>
          <w:instrText>PAGE   \* MERGEFORMAT</w:instrText>
        </w:r>
        <w:r>
          <w:fldChar w:fldCharType="separate"/>
        </w:r>
        <w:r w:rsidR="00A150D2" w:rsidRPr="00A150D2">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BC2A" w14:textId="77777777" w:rsidR="00A37641" w:rsidRDefault="00A37641" w:rsidP="00E00323">
      <w:pPr>
        <w:spacing w:after="0" w:line="240" w:lineRule="auto"/>
      </w:pPr>
      <w:r>
        <w:separator/>
      </w:r>
    </w:p>
  </w:footnote>
  <w:footnote w:type="continuationSeparator" w:id="0">
    <w:p w14:paraId="767183E3" w14:textId="77777777" w:rsidR="00A37641" w:rsidRDefault="00A3764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B6A8CB9" w:rsidR="00154BA3" w:rsidRDefault="00FF4D5E" w:rsidP="00A4610E">
    <w:pPr>
      <w:pStyle w:val="Encabezado"/>
      <w:spacing w:after="0" w:line="240" w:lineRule="auto"/>
      <w:jc w:val="center"/>
    </w:pPr>
    <w:r>
      <w:t>CASA DE LA CULTURA DE URIANGATO</w:t>
    </w:r>
  </w:p>
  <w:p w14:paraId="651A4C4F" w14:textId="3C9ADBA1" w:rsidR="00A4610E" w:rsidRDefault="00A4610E" w:rsidP="00A31A27">
    <w:pPr>
      <w:pStyle w:val="Encabezado"/>
      <w:spacing w:after="0" w:line="240" w:lineRule="auto"/>
      <w:jc w:val="center"/>
    </w:pPr>
    <w:r w:rsidRPr="00A4610E">
      <w:t xml:space="preserve">CORRESPONDINTES </w:t>
    </w:r>
    <w:r w:rsidR="00C63FBF">
      <w:t xml:space="preserve">DEL 01 DE ENERO AL </w:t>
    </w:r>
    <w:r w:rsidRPr="00A4610E">
      <w:t xml:space="preserve"> </w:t>
    </w:r>
    <w:r w:rsidR="00A150D2">
      <w:t>30 DE SEPTIEMBRE</w:t>
    </w:r>
    <w:r w:rsidR="00736AA5">
      <w:t xml:space="preserve"> DEL 2022</w:t>
    </w:r>
  </w:p>
  <w:p w14:paraId="22FE6171" w14:textId="77777777" w:rsidR="009E280F" w:rsidRDefault="009E280F" w:rsidP="00EF78D9">
    <w:pPr>
      <w:pStyle w:val="Encabezado"/>
      <w:spacing w:after="0" w:line="240" w:lineRule="auto"/>
      <w:jc w:val="center"/>
    </w:pPr>
  </w:p>
  <w:p w14:paraId="2A548D15" w14:textId="77777777" w:rsidR="00FF4D5E" w:rsidRDefault="00FF4D5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0E95"/>
    <w:rsid w:val="000565AC"/>
    <w:rsid w:val="00084EAE"/>
    <w:rsid w:val="00091CE6"/>
    <w:rsid w:val="000B7810"/>
    <w:rsid w:val="000C3365"/>
    <w:rsid w:val="0012405A"/>
    <w:rsid w:val="00154BA3"/>
    <w:rsid w:val="00162066"/>
    <w:rsid w:val="00195C8D"/>
    <w:rsid w:val="001973A2"/>
    <w:rsid w:val="001C3078"/>
    <w:rsid w:val="001C75F2"/>
    <w:rsid w:val="001D2063"/>
    <w:rsid w:val="001D340D"/>
    <w:rsid w:val="001D43E9"/>
    <w:rsid w:val="002878C9"/>
    <w:rsid w:val="002B05B0"/>
    <w:rsid w:val="003453CA"/>
    <w:rsid w:val="003D53C1"/>
    <w:rsid w:val="00407188"/>
    <w:rsid w:val="00435A87"/>
    <w:rsid w:val="004872C4"/>
    <w:rsid w:val="004A58C8"/>
    <w:rsid w:val="004C38E2"/>
    <w:rsid w:val="004F234D"/>
    <w:rsid w:val="0054701E"/>
    <w:rsid w:val="005863D4"/>
    <w:rsid w:val="005B37A9"/>
    <w:rsid w:val="005B5531"/>
    <w:rsid w:val="005D3E43"/>
    <w:rsid w:val="005E231E"/>
    <w:rsid w:val="00633C49"/>
    <w:rsid w:val="006412A3"/>
    <w:rsid w:val="00657009"/>
    <w:rsid w:val="00681C79"/>
    <w:rsid w:val="006E6C54"/>
    <w:rsid w:val="00736AA5"/>
    <w:rsid w:val="007610BC"/>
    <w:rsid w:val="007714AB"/>
    <w:rsid w:val="0078291A"/>
    <w:rsid w:val="007D1E76"/>
    <w:rsid w:val="007D4484"/>
    <w:rsid w:val="0086459F"/>
    <w:rsid w:val="00896C3C"/>
    <w:rsid w:val="008C3BB8"/>
    <w:rsid w:val="008E076C"/>
    <w:rsid w:val="0092765C"/>
    <w:rsid w:val="009A2A78"/>
    <w:rsid w:val="009E280F"/>
    <w:rsid w:val="00A0114A"/>
    <w:rsid w:val="00A150D2"/>
    <w:rsid w:val="00A260E5"/>
    <w:rsid w:val="00A31A27"/>
    <w:rsid w:val="00A37641"/>
    <w:rsid w:val="00A4610E"/>
    <w:rsid w:val="00A730E0"/>
    <w:rsid w:val="00AA41E5"/>
    <w:rsid w:val="00AB722B"/>
    <w:rsid w:val="00AE1F6A"/>
    <w:rsid w:val="00C14DF0"/>
    <w:rsid w:val="00C63FBF"/>
    <w:rsid w:val="00C97E1E"/>
    <w:rsid w:val="00CB41C4"/>
    <w:rsid w:val="00CD3E9C"/>
    <w:rsid w:val="00CE24F9"/>
    <w:rsid w:val="00CF1316"/>
    <w:rsid w:val="00D13C44"/>
    <w:rsid w:val="00D975B1"/>
    <w:rsid w:val="00DB5A9A"/>
    <w:rsid w:val="00E00323"/>
    <w:rsid w:val="00E4318F"/>
    <w:rsid w:val="00E74967"/>
    <w:rsid w:val="00E7559F"/>
    <w:rsid w:val="00E76B0C"/>
    <w:rsid w:val="00EA37F5"/>
    <w:rsid w:val="00EA7915"/>
    <w:rsid w:val="00EF78D9"/>
    <w:rsid w:val="00F24E40"/>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AC9B98B-275C-4C08-AF81-BA5E9143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3065</Words>
  <Characters>16861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Usuario_c</cp:lastModifiedBy>
  <cp:revision>37</cp:revision>
  <cp:lastPrinted>2022-01-20T20:42:00Z</cp:lastPrinted>
  <dcterms:created xsi:type="dcterms:W3CDTF">2017-01-12T05:27:00Z</dcterms:created>
  <dcterms:modified xsi:type="dcterms:W3CDTF">2022-10-25T15:49:00Z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